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Icahn Enterprises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Depositary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451100101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Jesse Lynn, Esq.</w:t>
      </w:r>
    </w:p>
    <w:p>
      <w:pPr>
        <w:spacing w:after="0" w:line="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16690 Collins Avenue, Suite PH-1,</w:t>
      </w:r>
    </w:p>
    <w:p>
      <w:pPr>
        <w:ind w:left="3480"/>
        <w:spacing w:after="0" w:line="230" w:lineRule="auto"/>
        <w:rPr>
          <w:sz w:val="20"/>
          <w:szCs w:val="20"/>
          <w:color w:val="auto"/>
        </w:rPr>
      </w:pPr>
      <w:r>
        <w:rPr>
          <w:rFonts w:ascii="Times New Roman" w:cs="Times New Roman" w:eastAsia="Times New Roman" w:hAnsi="Times New Roman"/>
          <w:sz w:val="22"/>
          <w:szCs w:val="22"/>
          <w:b w:val="1"/>
          <w:bCs w:val="1"/>
          <w:color w:val="0000FF"/>
        </w:rPr>
        <w:t>Sunny Isles Beach, FL, 33160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(305) 422-4100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451100101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CCI Onshore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117,383,187.00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117,383,187.00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117,383,187.00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451100101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Gascon Partners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75,520,523.00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75,520,523.00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75,520,523.00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451100101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High Coast Limited Partnership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275,301,323.00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117,383,187.00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275,301,323.00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117,383,187.00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392,684,510.00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62.26 %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451100101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Highcrest Investors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60,686,991.00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60,686,991.00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60,686,991.00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451100101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Thornwood Associates Limited Partnership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20,508,515.00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20,508,515.00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20,508,515.00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451100101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Barberry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20,508,515.00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20,508,515.00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20,508,515.00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451100101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Starfire Holding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60,686,991.00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60,686,991.00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60,686,991.00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9.62 %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451100101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Little Meadow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468,205,033.00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468,205,033.00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468,205,033.00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74.24 %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451100101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Carl C. Icahn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549,400,539.00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549,400,539.00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549,400,539.00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Depositary Units Representing Limited Partner Interests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Icahn Enterprises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16690 COLLINS AVE,, PH-1, SUNNY ISLES BEACH, FLORIDA , 33160.</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Schedule 13D filed with the U.S. Securities and Exchange Commission ("SEC") on September 24, 1990,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previously amended (the "Initial 13D"), is hereby further amended to furnish the additional information set forth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this Amendment No. 83 to the Initial 13D. All capitalized terms contained herein but not otherwise defined shall have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meanings ascribed to such terms in the Initial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500"/>
        <w:spacing w:after="0" w:line="253" w:lineRule="auto"/>
        <w:rPr>
          <w:sz w:val="20"/>
          <w:szCs w:val="20"/>
          <w:color w:val="auto"/>
        </w:rPr>
      </w:pPr>
      <w:r>
        <w:rPr>
          <w:rFonts w:ascii="Times New Roman" w:cs="Times New Roman" w:eastAsia="Times New Roman" w:hAnsi="Times New Roman"/>
          <w:sz w:val="21"/>
          <w:szCs w:val="21"/>
          <w:color w:val="auto"/>
        </w:rPr>
        <w:t>The Reporting Persons may be deemed to beneficially own, in the aggregate, 549,400,539 Depositary Units, representing approximately 87.11% of the Issuer's outstanding Depositary Units (based upon (i) the 600,208,517</w:t>
      </w:r>
    </w:p>
    <w:p>
      <w:pPr>
        <w:spacing w:after="0" w:line="1" w:lineRule="exact"/>
        <w:rPr>
          <w:sz w:val="20"/>
          <w:szCs w:val="20"/>
          <w:color w:val="auto"/>
        </w:rPr>
      </w:pPr>
    </w:p>
    <w:p>
      <w:pPr>
        <w:ind w:left="920" w:right="240" w:hanging="912"/>
        <w:spacing w:after="0" w:line="189"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Depositary Units stated to be outstanding as of November 4, 2025, by the Issuer in its Form 10-Q filed with the Securities and Exchange Commission on November 5, 2025, plus (ii) the 30,467,595 Depositary Units issued to the Reporting Persons by the Issuer on December 24, 2025, in connection with a regular quarterly distribution of Depositary Units by the Issuer).</w:t>
      </w:r>
    </w:p>
    <w:p>
      <w:pPr>
        <w:spacing w:after="0" w:line="14" w:lineRule="exact"/>
        <w:rPr>
          <w:rFonts w:ascii="Times New Roman" w:cs="Times New Roman" w:eastAsia="Times New Roman" w:hAnsi="Times New Roman"/>
          <w:sz w:val="43"/>
          <w:szCs w:val="43"/>
          <w:color w:val="auto"/>
          <w:vertAlign w:val="subscript"/>
        </w:rPr>
      </w:pPr>
    </w:p>
    <w:p>
      <w:pPr>
        <w:ind w:left="920" w:right="40"/>
        <w:spacing w:after="0" w:line="244"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CCI Onshore has sole voting power and sole dispositive power with respect to 117,383,187 Depositary Units. Pursuant to Rule 13d-3(a) under the Exchange Act, each of High Coast, Little Meadow and Mr. Icahn (by virtue of their relationships to CCI Onshore) may be deemed to indirectly beneficially own the Depositary Units which CCI Onshore owns. Each of High Coast, Little Meadow and Mr. Icahn disclaims beneficial ownership of the Depositary Units for all other purposes. Gascon has sole voting power and sole dispositive power with respect to 75,520,523 Depositary Units. Pursuant to Rule 13d-3(a) under the Exchange Act, each of Little Meadow and Mr. Icahn (by virtue of their relationships to Gascon) may be deemed to indirectly beneficially own the Depositary Units which Gascon owns. Each of Little Meadow and Mr. Icahn disclaims beneficial ownership of the Depositary Units for all other purposes. High Coast has sole voting power and sole dispositive power with respect to 275,301,323 Depositary Units.</w:t>
      </w:r>
    </w:p>
    <w:p>
      <w:pPr>
        <w:spacing w:after="0" w:line="1" w:lineRule="exact"/>
        <w:rPr>
          <w:rFonts w:ascii="Times New Roman" w:cs="Times New Roman" w:eastAsia="Times New Roman" w:hAnsi="Times New Roman"/>
          <w:sz w:val="43"/>
          <w:szCs w:val="43"/>
          <w:color w:val="auto"/>
          <w:vertAlign w:val="subscript"/>
        </w:rPr>
      </w:pPr>
    </w:p>
    <w:p>
      <w:pPr>
        <w:ind w:left="920" w:right="100" w:hanging="912"/>
        <w:spacing w:after="0" w:line="21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Pursuant to Rule 13d-3(a) under the Exchange Act, each of Little Meadow and Mr. Icahn (by virtue of their relationships to High Coast) may be deemed to indirectly beneficially own the Depositary Units which High Coast owns. Each of Little Meadow and Mr. Icahn disclaims beneficial ownership of the Depositary Units for all other purposes. Highcrest has sole voting power and sole dispositive power with respect to 60,686,991 Depositary Units. Pursuant to Rule 13d-3(a) under the Exchange Act, each of Starfire and Mr. Icahn (by virtue of their relationships to Highcrest) may be deemed to indirectly beneficially own the Depositary Units which Highcrest owns. Each of Starfire and Mr. Icahn disclaims beneficial ownership of the Depositary Units for all other purposes. Thornwood has sole voting power and sole dispositive power with respect to 20,508,515 Depositary Units. Pursuant to Rule 13d-3(a) under the Exchange Act, each of Barberry and Mr. Icahn (by virtue of their relationships to Thornwood) may be deemed to indirectly beneficially own the Depositary Units which Thornwood owns. Each of Barberry and Mr. Icahn disclaims beneficial ownership of the Depositary Units for all other purposes.</w:t>
      </w:r>
    </w:p>
    <w:p>
      <w:pPr>
        <w:spacing w:after="0" w:line="19" w:lineRule="exact"/>
        <w:rPr>
          <w:rFonts w:ascii="Times New Roman" w:cs="Times New Roman" w:eastAsia="Times New Roman" w:hAnsi="Times New Roman"/>
          <w:sz w:val="43"/>
          <w:szCs w:val="43"/>
          <w:color w:val="auto"/>
          <w:vertAlign w:val="subscript"/>
        </w:rPr>
      </w:pPr>
    </w:p>
    <w:p>
      <w:pPr>
        <w:ind w:left="920" w:right="4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Except for the acquisition of Depositary Units from the Issuer in connection with a quarterly dividend, none of the Reporting Persons effected any transactions in the Issuer's securities during the past sixty (60) days. On December 24,</w:t>
      </w:r>
    </w:p>
    <w:p>
      <w:pPr>
        <w:ind w:left="920" w:right="10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2025, in connection with the quarterly dividend, CCI Onshore received 6,509,611 Depositary Units, Gascon received 4,188,072 Depositary Units, High Coast received 15,267,131 Depositary Units, Highcrest received 3,365,460 Depositary Units, and Thornwood received 1,137,321 Depositary Units.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CCI Onshore LLC</w:t>
      </w:r>
    </w:p>
    <w:p>
      <w:pPr>
        <w:spacing w:after="0" w:line="152"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Name/Title: Rowella Asuncion-Gumabong / Vice President</w:t>
      </w:r>
    </w:p>
    <w:p>
      <w:pPr>
        <w:spacing w:after="0" w:line="44"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Gascon Partners</w:t>
      </w:r>
    </w:p>
    <w:p>
      <w:pPr>
        <w:spacing w:after="0" w:line="152"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Name/Title: Rowella Asuncion-Gumabong / Vice President</w:t>
      </w:r>
    </w:p>
    <w:p>
      <w:pPr>
        <w:spacing w:after="0" w:line="44"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High Coast Limited Partnership</w:t>
      </w:r>
    </w:p>
    <w:p>
      <w:pPr>
        <w:sectPr>
          <w:pgSz w:w="11900" w:h="16838" w:orient="portrait"/>
          <w:cols w:equalWidth="0" w:num="1">
            <w:col w:w="11160"/>
          </w:cols>
          <w:pgMar w:left="360" w:top="193" w:right="379" w:bottom="0" w:gutter="0" w:footer="0" w:header="0"/>
        </w:sectPr>
      </w:pPr>
    </w:p>
    <w:bookmarkStart w:id="9" w:name="page10"/>
    <w:bookmarkEnd w:id="9"/>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Highcrest Investors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Thornwood Associates Limited Partnership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Barberry Corp.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Starfire Holding Corporation</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Little Meadow Corp.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Carl C. Icahn</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C. Icahn</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CARL C. ICAHN</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sectPr>
      <w:pgSz w:w="11900" w:h="16838" w:orient="portrait"/>
      <w:cols w:equalWidth="0" w:num="1">
        <w:col w:w="9400"/>
      </w:cols>
      <w:pgMar w:left="1440" w:top="11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2025-12-29T18:56:41Z</dcterms:created>
  <dcterms:modified xsi:type="dcterms:W3CDTF">2025-12-29T18:56:41Z</dcterms:modified>
</cp:coreProperties>
</file>