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iep-20260127.htm"/>
      <w:bookmarkStart w:id="1" w:name="ksiep2026012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ind w:left="4320" w:right="4320" w:hanging="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ind w:left="4320" w:right="4320" w:hanging="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744" w:type="dxa"/>
        <w:jc w:val="left"/>
        <w:tblInd w:w="0" w:type="dxa"/>
        <w:tblLayout w:type="fixed"/>
        <w:tblCellMar>
          <w:top w:w="28" w:type="dxa"/>
          <w:left w:w="28" w:type="dxa"/>
          <w:bottom w:w="28" w:type="dxa"/>
          <w:right w:w="28" w:type="dxa"/>
        </w:tblCellMar>
      </w:tblPr>
      <w:tblGrid>
        <w:gridCol w:w="5744"/>
      </w:tblGrid>
      <w:tr>
        <w:trPr/>
        <w:tc>
          <w:tcPr>
            <w:tcW w:w="5744" w:type="dxa"/>
            <w:tcBorders/>
            <w:vAlign w:val="center"/>
          </w:tcPr>
          <w:p>
            <w:pPr>
              <w:pStyle w:val="TableContents"/>
              <w:bidi w:val="0"/>
              <w:spacing w:before="0" w:after="283"/>
              <w:jc w:val="left"/>
              <w:rPr>
                <w:sz w:val="4"/>
                <w:szCs w:val="4"/>
              </w:rPr>
            </w:pPr>
            <w:r>
              <w:rPr>
                <w:sz w:val="4"/>
                <w:szCs w:val="4"/>
              </w:rPr>
            </w:r>
          </w:p>
        </w:tc>
      </w:tr>
      <w:tr>
        <w:trPr/>
        <w:tc>
          <w:tcPr>
            <w:tcW w:w="574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January 27, 2026</w:t>
            </w:r>
          </w:p>
        </w:tc>
      </w:tr>
    </w:tbl>
    <w:p>
      <w:pPr>
        <w:pStyle w:val="TextBody"/>
        <w:pBdr>
          <w:bottom w:val="single" w:sz="6" w:space="1" w:color="000000"/>
        </w:pBdr>
        <w:bidi w:val="0"/>
        <w:spacing w:before="100" w:after="283"/>
        <w:ind w:left="4320" w:right="4320" w:hanging="0"/>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Icahn Enterprises L.P.</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ind w:left="4320" w:right="4320" w:hanging="0"/>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1-9516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13-3398766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16690 Collins Ave, PH-1</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Sunny Isles Beach, Florida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33160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99" w:type="dxa"/>
        <w:jc w:val="left"/>
        <w:tblInd w:w="0" w:type="dxa"/>
        <w:tblLayout w:type="fixed"/>
        <w:tblCellMar>
          <w:top w:w="28" w:type="dxa"/>
          <w:left w:w="28" w:type="dxa"/>
          <w:bottom w:w="28" w:type="dxa"/>
          <w:right w:w="28" w:type="dxa"/>
        </w:tblCellMar>
      </w:tblPr>
      <w:tblGrid>
        <w:gridCol w:w="5999"/>
      </w:tblGrid>
      <w:tr>
        <w:trPr/>
        <w:tc>
          <w:tcPr>
            <w:tcW w:w="5999" w:type="dxa"/>
            <w:tcBorders/>
            <w:vAlign w:val="center"/>
          </w:tcPr>
          <w:p>
            <w:pPr>
              <w:pStyle w:val="TableContents"/>
              <w:bidi w:val="0"/>
              <w:spacing w:before="0" w:after="283"/>
              <w:jc w:val="left"/>
              <w:rPr>
                <w:sz w:val="4"/>
                <w:szCs w:val="4"/>
              </w:rPr>
            </w:pPr>
            <w:r>
              <w:rPr>
                <w:sz w:val="4"/>
                <w:szCs w:val="4"/>
              </w:rPr>
            </w:r>
          </w:p>
        </w:tc>
      </w:tr>
      <w:tr>
        <w:trPr/>
        <w:tc>
          <w:tcPr>
            <w:tcW w:w="599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305</w:t>
            </w:r>
            <w:r>
              <w:rPr>
                <w:rFonts w:ascii="Times New Roman" w:hAnsi="Times New Roman"/>
                <w:color w:val="000000"/>
                <w:sz w:val="20"/>
              </w:rPr>
              <w:t xml:space="preserve"> </w:t>
            </w:r>
            <w:r>
              <w:rPr>
                <w:rFonts w:ascii="Times New Roman" w:hAnsi="Times New Roman"/>
                <w:b/>
                <w:color w:val="000000"/>
                <w:sz w:val="20"/>
              </w:rPr>
              <w:t>422-4100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ind w:left="4320" w:right="4320" w:hanging="0"/>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5670"/>
        <w:gridCol w:w="146"/>
        <w:gridCol w:w="921"/>
        <w:gridCol w:w="146"/>
        <w:gridCol w:w="3322"/>
      </w:tblGrid>
      <w:tr>
        <w:trPr/>
        <w:tc>
          <w:tcPr>
            <w:tcW w:w="56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2" w:type="dxa"/>
            <w:tcBorders/>
            <w:vAlign w:val="center"/>
          </w:tcPr>
          <w:p>
            <w:pPr>
              <w:pStyle w:val="TableContents"/>
              <w:bidi w:val="0"/>
              <w:spacing w:before="0" w:after="283"/>
              <w:jc w:val="left"/>
              <w:rPr>
                <w:sz w:val="4"/>
                <w:szCs w:val="4"/>
              </w:rPr>
            </w:pPr>
            <w:r>
              <w:rPr>
                <w:sz w:val="4"/>
                <w:szCs w:val="4"/>
              </w:rPr>
            </w:r>
          </w:p>
        </w:tc>
      </w:tr>
      <w:tr>
        <w:trPr/>
        <w:tc>
          <w:tcPr>
            <w:tcW w:w="5670"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322"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567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Depositary Units of Icahn Enterprises L.P. Representing Limited Partner Interests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IEP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jc w:val="both"/>
        <w:rPr>
          <w:rFonts w:ascii="Times New Roman" w:hAnsi="Times New Roman"/>
          <w:color w:val="000000"/>
          <w:sz w:val="20"/>
        </w:rPr>
      </w:pPr>
      <w:r>
        <w:rPr>
          <w:rFonts w:ascii="Times New Roman" w:hAnsi="Times New Roman"/>
          <w:color w:val="000000"/>
          <w:sz w:val="20"/>
        </w:rPr>
        <w:t>On January 27, 2026, Icahn Enterprises L.P. (“Icahn Enterprises”) and Icahn Enterprises Finance Corp. (together with Icahn Enterprises, the “Company”) caused Wilmington Trust, National Association, as trustee (the “Trustee”) to deliver on the Company’s behalf a notice of full redemption to holders of the Company’s outstanding 6.250% Senior Notes due 2026 (the “2026 Notes”) issued under an indenture, dated as of May 10, 2019, among the Company, Icahn Enterprises Holdings L.P., as guarantor, and the Trustee (the “Indenture”), that the Company will redeem all the outstanding aggregate principal amount of the 2026 Notes on February 26, 2026 (the “Redemption Date”). The redemption price will be equal to 100.000% of the principal amount of the remaining 2026 Notes, plus accrued and unpaid interest thereon to, but not including, the Redemption Date. Upon the redemption by the Company of the 2026 Notes, none of the 2026 Notes will remain outstanding. The Company expects to use cash on hand to pay the redemption price for the 2026 Notes.</w:t>
      </w:r>
    </w:p>
    <w:p>
      <w:pPr>
        <w:pStyle w:val="TextBody"/>
        <w:bidi w:val="0"/>
        <w:jc w:val="both"/>
        <w:rPr>
          <w:rFonts w:ascii="Times New Roman" w:hAnsi="Times New Roman"/>
          <w:color w:val="000000"/>
          <w:sz w:val="20"/>
        </w:rPr>
      </w:pPr>
      <w:r>
        <w:rPr>
          <w:rFonts w:ascii="Times New Roman" w:hAnsi="Times New Roman"/>
          <w:color w:val="000000"/>
          <w:sz w:val="20"/>
        </w:rPr>
        <w:t>This Current Report on Form 8-K does not constitute a notice of redemption of the 2026 Notes. There can be no assurances that the redemption will occur.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209" w:type="dxa"/>
        <w:jc w:val="left"/>
        <w:tblInd w:w="0" w:type="dxa"/>
        <w:tblLayout w:type="fixed"/>
        <w:tblCellMar>
          <w:top w:w="28" w:type="dxa"/>
          <w:left w:w="28" w:type="dxa"/>
          <w:bottom w:w="28" w:type="dxa"/>
          <w:right w:w="28" w:type="dxa"/>
        </w:tblCellMar>
      </w:tblPr>
      <w:tblGrid>
        <w:gridCol w:w="556"/>
        <w:gridCol w:w="1501"/>
        <w:gridCol w:w="451"/>
        <w:gridCol w:w="2701"/>
      </w:tblGrid>
      <w:tr>
        <w:trPr/>
        <w:tc>
          <w:tcPr>
            <w:tcW w:w="55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sz w:val="20"/>
              </w:rPr>
            </w:pPr>
            <w:r>
              <w:rPr>
                <w:rFonts w:ascii="Times New Roman" w:hAnsi="Times New Roman"/>
                <w:b/>
                <w:color w:val="000000"/>
                <w:sz w:val="20"/>
              </w:rPr>
              <w:t>ICAHN ENTERPRISES L.P.</w:t>
              <w:br/>
            </w:r>
            <w:r>
              <w:rPr>
                <w:rFonts w:ascii="Times New Roman" w:hAnsi="Times New Roman"/>
                <w:color w:val="000000"/>
                <w:sz w:val="20"/>
              </w:rPr>
              <w:t>(Registrant)</w:t>
            </w:r>
            <w:r>
              <w:rPr>
                <w:rFonts w:ascii="Times New Roman" w:hAnsi="Times New Roman"/>
                <w:b/>
                <w:color w:val="000000"/>
                <w:sz w:val="20"/>
              </w:rPr>
              <w:br/>
              <w:br/>
            </w:r>
            <w:r>
              <w:rPr>
                <w:rFonts w:ascii="Times New Roman" w:hAnsi="Times New Roman"/>
                <w:color w:val="000000"/>
                <w:sz w:val="20"/>
              </w:rPr>
              <w:t xml:space="preserve">By: Icahn Enterprises G.P. Inc., </w:t>
              <w:br/>
              <w:t>       its general partner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0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January 27,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70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Ted Papapostolou</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Ted Papapostolou</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555</Words>
  <Characters>3050</Characters>
  <CharactersWithSpaces>3609</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