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60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603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ICAHN CARL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ICAHN ASSOCIATES HOLDING LLC 16690 COLLINS AVE., PH-1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ICAHN ENTERPRISES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IEP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CHAIRMAN OF THE BOARD</w:t>
      </w:r>
    </w:p>
    <w:p>
      <w:pPr>
        <w:spacing w:after="0" w:line="480" w:lineRule="exact"/>
        <w:rPr>
          <w:sz w:val="24"/>
          <w:szCs w:val="24"/>
          <w:color w:val="auto"/>
        </w:rPr>
      </w:pPr>
    </w:p>
    <w:p>
      <w:pPr>
        <w:sectPr>
          <w:pgSz w:w="11900" w:h="16838" w:orient="portrait"/>
          <w:cols w:equalWidth="0" w:num="3">
            <w:col w:w="3280" w:space="64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880" w:type="dxa"/>
            <w:vAlign w:val="bottom"/>
            <w:tcBorders>
              <w:bottom w:val="single" w:sz="8" w:color="9A9A9A"/>
            </w:tcBorders>
          </w:tcPr>
          <w:p>
            <w:pPr>
              <w:spacing w:after="0"/>
              <w:rPr>
                <w:sz w:val="2"/>
                <w:szCs w:val="2"/>
                <w:color w:val="auto"/>
              </w:rPr>
            </w:pPr>
          </w:p>
        </w:tc>
        <w:tc>
          <w:tcPr>
            <w:tcW w:w="160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60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SUNNY ISLES</w:t>
            </w: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tcPr>
          <w:p>
            <w:pPr>
              <w:ind w:left="60"/>
              <w:spacing w:after="0" w:line="190" w:lineRule="exact"/>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line="190" w:lineRule="exact"/>
              <w:rPr>
                <w:sz w:val="20"/>
                <w:szCs w:val="20"/>
                <w:color w:val="auto"/>
              </w:rPr>
            </w:pPr>
            <w:r>
              <w:rPr>
                <w:rFonts w:ascii="Times New Roman" w:cs="Times New Roman" w:eastAsia="Times New Roman" w:hAnsi="Times New Roman"/>
                <w:sz w:val="17"/>
                <w:szCs w:val="17"/>
                <w:color w:val="0000FF"/>
              </w:rPr>
              <w:t>33160</w:t>
            </w: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BEACH</w:t>
            </w: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40" w:type="dxa"/>
            <w:vAlign w:val="bottom"/>
          </w:tcPr>
          <w:p>
            <w:pPr>
              <w:ind w:left="74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19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vMerge w:val="restart"/>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w:t>
            </w:r>
          </w:p>
        </w:tc>
        <w:tc>
          <w:tcPr>
            <w:tcW w:w="8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9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w w:val="97"/>
              </w:rPr>
              <w:t>Depositary Units</w:t>
            </w:r>
            <w:r>
              <w:rPr>
                <w:rFonts w:ascii="Times New Roman" w:cs="Times New Roman" w:eastAsia="Times New Roman" w:hAnsi="Times New Roman"/>
                <w:sz w:val="22"/>
                <w:szCs w:val="22"/>
                <w:color w:val="008000"/>
                <w:w w:val="97"/>
                <w:vertAlign w:val="superscript"/>
              </w:rPr>
              <w:t>(1)(2)</w:t>
            </w:r>
          </w:p>
        </w:tc>
        <w:tc>
          <w:tcPr>
            <w:tcW w:w="22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06/25/2026</w:t>
            </w:r>
            <w:r>
              <w:rPr>
                <w:rFonts w:ascii="Times New Roman" w:cs="Times New Roman" w:eastAsia="Times New Roman" w:hAnsi="Times New Roman"/>
                <w:sz w:val="22"/>
                <w:szCs w:val="22"/>
                <w:color w:val="008000"/>
                <w:vertAlign w:val="superscript"/>
              </w:rPr>
              <w:t>(3)</w:t>
            </w:r>
          </w:p>
        </w:tc>
        <w:tc>
          <w:tcPr>
            <w:tcW w:w="1260" w:type="dxa"/>
            <w:vAlign w:val="bottom"/>
            <w:gridSpan w:val="2"/>
          </w:tcPr>
          <w:p>
            <w:pPr>
              <w:ind w:left="740"/>
              <w:spacing w:after="0" w:line="280"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36,456,030</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7.2956</w:t>
            </w:r>
            <w:r>
              <w:rPr>
                <w:rFonts w:ascii="Times New Roman" w:cs="Times New Roman" w:eastAsia="Times New Roman" w:hAnsi="Times New Roman"/>
                <w:sz w:val="22"/>
                <w:szCs w:val="22"/>
                <w:color w:val="008000"/>
                <w:vertAlign w:val="superscript"/>
              </w:rPr>
              <w:t>(4)</w:t>
            </w: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618,393,343</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I</w:t>
            </w:r>
          </w:p>
        </w:tc>
        <w:tc>
          <w:tcPr>
            <w:tcW w:w="1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Please see footnotes</w:t>
            </w:r>
            <w:r>
              <w:rPr>
                <w:rFonts w:ascii="Times New Roman" w:cs="Times New Roman" w:eastAsia="Times New Roman" w:hAnsi="Times New Roman"/>
                <w:sz w:val="22"/>
                <w:szCs w:val="22"/>
                <w:color w:val="008000"/>
                <w:vertAlign w:val="superscript"/>
              </w:rPr>
              <w:t>(6)</w:t>
            </w: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008000"/>
              </w:rPr>
              <w:t>(7)(8)(9)(10)(11)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300" w:type="dxa"/>
            <w:vAlign w:val="bottom"/>
            <w:tcBorders>
              <w:bottom w:val="single" w:sz="8" w:color="2C2C2C"/>
            </w:tcBorders>
            <w:gridSpan w:val="9"/>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Depository Units representing limited partner interests in Icahn Enterprises L.P. (the "Issuer").</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Comprised of Depositary Units held indirectly through CCI Onshore LLC ("CCI Onshore"), Gascon Partners ("Gascon"), High Coast Limited Partnership ("High Coast"), Highcrest Investors LLC ("Highcrest") and Thornwood Associates Limited Partnership ("Thornwood").</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date on which dividend amounts are determined based on the election of each holder and the volume weighted average trading price of units on NASDAQ during five consecutive trading days following the election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amount foregone in exchange for each Depository Unit received as a dividend.</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Icahn received 36,456,030 Depositary Units as a payment-in-kind dividend on 581,937,313 Depositary Units owned on the dividend record date in a transaction exempt from Section 16(b) liability pursuant to Rule 16(b)-3(d) promulgated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CCI Onshore beneficially owns 132,123,972 Depository Units. High Coast is the sole member of CCI Onshore. Little Meadow Corp. ("Little Meadow") is the general partner of High Coast. Carl C. Icahn beneficially owns 100% of Little Meadow. Pursuant to Rule 16a-1(a)(2) under the Exchange Act, each of Mr. Icahn, Little Meadow and High Coast (by virtue of their relationships to CCI Onshore) may be deemed to indirectly beneficially own the Depository Units which CCI Onshore owns. Each of Mr. Icahn, Little Meadow and High Coast disclaims beneficial ownership of such Depository Units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Gascon beneficially owns 85,004,265 Depository Units. Little Meadow is the managing general partner of Gascon. Carl C. Icahn beneficially owns 100% of Little Meadow. Pursuant to Rule 16a-1(a)</w:t>
      </w:r>
    </w:p>
    <w:p>
      <w:pPr>
        <w:spacing w:after="0" w:line="11" w:lineRule="exact"/>
        <w:rPr>
          <w:rFonts w:ascii="Times New Roman" w:cs="Times New Roman" w:eastAsia="Times New Roman" w:hAnsi="Times New Roman"/>
          <w:sz w:val="13"/>
          <w:szCs w:val="13"/>
          <w:color w:val="008000"/>
        </w:rPr>
      </w:pPr>
    </w:p>
    <w:p>
      <w:pPr>
        <w:ind w:left="40" w:right="4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 under the Exchange Act, each of Mr. Icahn and Little Meadow (by virtue of their relationships to Gascon) may be deemed to indirectly beneficially own the Depository Units which Gascon owns. Each of Mr. Icahn and Little Meadow disclaims beneficial ownership of such Depository Units except to the extent of their pecuniary interest therein.</w:t>
      </w:r>
    </w:p>
    <w:p>
      <w:pPr>
        <w:spacing w:after="0" w:line="21"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High Coast beneficially owns 309,873,208 Depository Units. Little Meadow is the general partner of High Coast. Carl C. Icahn beneficially owns 100% of Little Meadow. Pursuant to Rule 16a-1(a)(2) under the Exchange Act, each of Mr. Icahn and Little Meadow (by virtue of their relationships to High Coast) may be deemed to indirectly beneficially own the Depository Units which High Coast owns. Each of Mr. Icahn and Little Meadow disclaims beneficial ownership of such Depository Units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Highcrest beneficially owns 68,307,958 Depository Units. Starfire Holding Corporation ("Starfire") beneficially owns 100% of Highcrest. Carl C. Icahn beneficially owns 100% of Starfire. Pursuant to Rule 16a-1(a)(2) under the Exchange Act, each of Mr. Icahn and Starfire (by virtue of their relationships to Highcrest) may be deemed to indirectly beneficially own the Depository Units which Highcrest owns. Each of Mr. Icahn and Starfire disclaims beneficial ownership of such Depository Units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Thornwood beneficially owns 23,083,940 Depository Units. Barberry Corp. ("Barberry") is the general partner of Thornwood. Carl C. Icahn beneficially owns 100% of Barberry. Pursuant to Rule 16a-</w:t>
      </w:r>
    </w:p>
    <w:p>
      <w:pPr>
        <w:spacing w:after="0" w:line="11" w:lineRule="exact"/>
        <w:rPr>
          <w:rFonts w:ascii="Times New Roman" w:cs="Times New Roman" w:eastAsia="Times New Roman" w:hAnsi="Times New Roman"/>
          <w:sz w:val="13"/>
          <w:szCs w:val="13"/>
          <w:color w:val="008000"/>
        </w:rPr>
      </w:pPr>
    </w:p>
    <w:p>
      <w:pPr>
        <w:ind w:left="40" w:right="4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1(a)(2) under the Exchange Act, each of Mr. Icahn and Barberry (by virtue of their relationships to Thornwood) may be deemed to indirectly beneficially own the Depository Units which Thornwood owns. Each of Mr. Icahn and Barberry disclaims beneficial ownership of such Depository Units except to the extent of their pecuniary interest therein.</w:t>
      </w:r>
    </w:p>
    <w:p>
      <w:pPr>
        <w:spacing w:after="0" w:line="21"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Icahn may be deemed to indirectly beneficially own the 17,704 Depository Units owned by Gail Golden, his wife, which are not included in the total reported in column 5. Mr. Icahn disclaims beneficial ownership of such Depositary Units for all purposes.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Carl C. Icahn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06/29/2026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0921669" TargetMode="External"/><Relationship Id="rId14" Type="http://schemas.openxmlformats.org/officeDocument/2006/relationships/hyperlink" Target="http://www.sec.gov/cgi-bin/browse-edgar?action=getcompany&amp;CIK=00008137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2026-06-29T20:02:44Z</dcterms:created>
  <dcterms:modified xsi:type="dcterms:W3CDTF">2026-06-29T20:02:44Z</dcterms:modified>
</cp:coreProperties>
</file>