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170815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6" w:lineRule="exact"/>
        <w:rPr>
          <w:sz w:val="24"/>
          <w:szCs w:val="24"/>
          <w:color w:val="auto"/>
        </w:rPr>
      </w:pPr>
    </w:p>
    <w:tbl>
      <w:tblPr>
        <w:tblLayout w:type="fixed"/>
        <w:tblInd w:w="52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5480" w:type="dxa"/>
            <w:vAlign w:val="bottom"/>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rPr>
              <w:t>CURRENT REPORT</w:t>
            </w:r>
          </w:p>
        </w:tc>
        <w:tc>
          <w:tcPr>
            <w:tcW w:w="16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45"/>
        </w:trPr>
        <w:tc>
          <w:tcPr>
            <w:tcW w:w="2280" w:type="dxa"/>
            <w:vAlign w:val="bottom"/>
          </w:tcPr>
          <w:p>
            <w:pPr>
              <w:spacing w:after="0"/>
              <w:rPr>
                <w:sz w:val="24"/>
                <w:szCs w:val="24"/>
                <w:color w:val="auto"/>
              </w:rPr>
            </w:pPr>
          </w:p>
        </w:tc>
        <w:tc>
          <w:tcPr>
            <w:tcW w:w="5480" w:type="dxa"/>
            <w:vAlign w:val="bottom"/>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5"/>
        </w:trPr>
        <w:tc>
          <w:tcPr>
            <w:tcW w:w="2280" w:type="dxa"/>
            <w:vAlign w:val="bottom"/>
          </w:tcPr>
          <w:p>
            <w:pPr>
              <w:spacing w:after="0"/>
              <w:rPr>
                <w:sz w:val="24"/>
                <w:szCs w:val="24"/>
                <w:color w:val="auto"/>
              </w:rPr>
            </w:pPr>
          </w:p>
        </w:tc>
        <w:tc>
          <w:tcPr>
            <w:tcW w:w="548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8, 2026</w:t>
            </w: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1"/>
        </w:trPr>
        <w:tc>
          <w:tcPr>
            <w:tcW w:w="2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(State or Other</w:t>
            </w:r>
          </w:p>
        </w:tc>
        <w:tc>
          <w:tcPr>
            <w:tcW w:w="1100" w:type="dxa"/>
            <w:vAlign w:val="bottom"/>
          </w:tcPr>
          <w:p>
            <w:pPr>
              <w:spacing w:after="0"/>
              <w:rPr>
                <w:sz w:val="24"/>
                <w:szCs w:val="24"/>
                <w:color w:val="auto"/>
              </w:rPr>
            </w:pPr>
          </w:p>
        </w:tc>
      </w:tr>
      <w:tr>
        <w:trPr>
          <w:trHeight w:val="172"/>
        </w:trPr>
        <w:tc>
          <w:tcPr>
            <w:tcW w:w="2280" w:type="dxa"/>
            <w:vAlign w:val="bottom"/>
          </w:tcPr>
          <w:p>
            <w:pPr>
              <w:spacing w:after="0"/>
              <w:rPr>
                <w:sz w:val="14"/>
                <w:szCs w:val="14"/>
                <w:color w:val="auto"/>
              </w:rPr>
            </w:pPr>
          </w:p>
        </w:tc>
        <w:tc>
          <w:tcPr>
            <w:tcW w:w="5480" w:type="dxa"/>
            <w:vAlign w:val="bottom"/>
          </w:tcPr>
          <w:p>
            <w:pPr>
              <w:jc w:val="center"/>
              <w:ind w:left="4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6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Jurisdiction of</w:t>
            </w:r>
          </w:p>
        </w:tc>
        <w:tc>
          <w:tcPr>
            <w:tcW w:w="11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72"/>
        </w:trPr>
        <w:tc>
          <w:tcPr>
            <w:tcW w:w="2280" w:type="dxa"/>
            <w:vAlign w:val="bottom"/>
          </w:tcPr>
          <w:p>
            <w:pPr>
              <w:spacing w:after="0"/>
              <w:rPr>
                <w:sz w:val="14"/>
                <w:szCs w:val="14"/>
                <w:color w:val="auto"/>
              </w:rPr>
            </w:pPr>
          </w:p>
        </w:tc>
        <w:tc>
          <w:tcPr>
            <w:tcW w:w="5480" w:type="dxa"/>
            <w:vAlign w:val="bottom"/>
          </w:tcPr>
          <w:p>
            <w:pPr>
              <w:jc w:val="center"/>
              <w:ind w:left="26"/>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Incorporation or</w:t>
            </w:r>
          </w:p>
        </w:tc>
        <w:tc>
          <w:tcPr>
            <w:tcW w:w="11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Identification</w:t>
            </w:r>
          </w:p>
        </w:tc>
      </w:tr>
      <w:tr>
        <w:trPr>
          <w:trHeight w:val="165"/>
        </w:trPr>
        <w:tc>
          <w:tcPr>
            <w:tcW w:w="2280" w:type="dxa"/>
            <w:vAlign w:val="bottom"/>
          </w:tcPr>
          <w:p>
            <w:pPr>
              <w:jc w:val="center"/>
              <w:ind w:right="628"/>
              <w:spacing w:after="0"/>
              <w:rPr>
                <w:sz w:val="20"/>
                <w:szCs w:val="20"/>
                <w:color w:val="auto"/>
              </w:rPr>
            </w:pPr>
            <w:r>
              <w:rPr>
                <w:rFonts w:ascii="Times New Roman" w:cs="Times New Roman" w:eastAsia="Times New Roman" w:hAnsi="Times New Roman"/>
                <w:sz w:val="14"/>
                <w:szCs w:val="14"/>
                <w:color w:val="auto"/>
              </w:rPr>
              <w:t>(Commission File Number)</w:t>
            </w:r>
          </w:p>
        </w:tc>
        <w:tc>
          <w:tcPr>
            <w:tcW w:w="5480" w:type="dxa"/>
            <w:vAlign w:val="bottom"/>
          </w:tcPr>
          <w:p>
            <w:pPr>
              <w:jc w:val="center"/>
              <w:ind w:left="46"/>
              <w:spacing w:after="0"/>
              <w:rPr>
                <w:sz w:val="20"/>
                <w:szCs w:val="20"/>
                <w:color w:val="auto"/>
              </w:rPr>
            </w:pPr>
            <w:r>
              <w:rPr>
                <w:rFonts w:ascii="Times New Roman" w:cs="Times New Roman" w:eastAsia="Times New Roman" w:hAnsi="Times New Roman"/>
                <w:sz w:val="14"/>
                <w:szCs w:val="14"/>
                <w:color w:val="auto"/>
              </w:rPr>
              <w:t>(Telephone Number)</w:t>
            </w:r>
          </w:p>
        </w:tc>
        <w:tc>
          <w:tcPr>
            <w:tcW w:w="16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Organization)</w:t>
            </w:r>
          </w:p>
        </w:tc>
        <w:tc>
          <w:tcPr>
            <w:tcW w:w="11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No.)</w:t>
            </w:r>
          </w:p>
        </w:tc>
      </w:tr>
      <w:tr>
        <w:trPr>
          <w:trHeight w:val="242"/>
        </w:trPr>
        <w:tc>
          <w:tcPr>
            <w:tcW w:w="228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1-9516</w:t>
            </w:r>
          </w:p>
        </w:tc>
        <w:tc>
          <w:tcPr>
            <w:tcW w:w="5480" w:type="dxa"/>
            <w:vAlign w:val="bottom"/>
          </w:tcPr>
          <w:p>
            <w:pPr>
              <w:jc w:val="center"/>
              <w:ind w:left="26"/>
              <w:spacing w:after="0"/>
              <w:rPr>
                <w:sz w:val="20"/>
                <w:szCs w:val="20"/>
                <w:color w:val="auto"/>
              </w:rPr>
            </w:pPr>
            <w:r>
              <w:rPr>
                <w:rFonts w:ascii="Times New Roman" w:cs="Times New Roman" w:eastAsia="Times New Roman" w:hAnsi="Times New Roman"/>
                <w:sz w:val="20"/>
                <w:szCs w:val="20"/>
                <w:b w:val="1"/>
                <w:bCs w:val="1"/>
                <w:color w:val="auto"/>
                <w:w w:val="99"/>
              </w:rPr>
              <w:t>ICAHN ENTERPRISES L.P.</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13-3398766</w:t>
            </w:r>
          </w:p>
        </w:tc>
      </w:tr>
      <w:tr>
        <w:trPr>
          <w:trHeight w:val="172"/>
        </w:trPr>
        <w:tc>
          <w:tcPr>
            <w:tcW w:w="2280" w:type="dxa"/>
            <w:vAlign w:val="bottom"/>
          </w:tcPr>
          <w:p>
            <w:pPr>
              <w:spacing w:after="0"/>
              <w:rPr>
                <w:sz w:val="14"/>
                <w:szCs w:val="14"/>
                <w:color w:val="auto"/>
              </w:rPr>
            </w:pPr>
          </w:p>
        </w:tc>
        <w:tc>
          <w:tcPr>
            <w:tcW w:w="5480" w:type="dxa"/>
            <w:vAlign w:val="bottom"/>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rPr>
              <w:t>16690 Collins Avenue, PH-1</w:t>
            </w: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2280" w:type="dxa"/>
            <w:vAlign w:val="bottom"/>
          </w:tcPr>
          <w:p>
            <w:pPr>
              <w:spacing w:after="0"/>
              <w:rPr>
                <w:sz w:val="14"/>
                <w:szCs w:val="14"/>
                <w:color w:val="auto"/>
              </w:rPr>
            </w:pPr>
          </w:p>
        </w:tc>
        <w:tc>
          <w:tcPr>
            <w:tcW w:w="5480" w:type="dxa"/>
            <w:vAlign w:val="bottom"/>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Sunny Isles Beach, FL 33160</w:t>
            </w: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8"/>
        </w:trPr>
        <w:tc>
          <w:tcPr>
            <w:tcW w:w="2280" w:type="dxa"/>
            <w:vAlign w:val="bottom"/>
          </w:tcPr>
          <w:p>
            <w:pPr>
              <w:spacing w:after="0"/>
              <w:rPr>
                <w:sz w:val="16"/>
                <w:szCs w:val="16"/>
                <w:color w:val="auto"/>
              </w:rPr>
            </w:pPr>
          </w:p>
        </w:tc>
        <w:tc>
          <w:tcPr>
            <w:tcW w:w="5480" w:type="dxa"/>
            <w:vAlign w:val="bottom"/>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rPr>
              <w:t>(305) 422-4100</w:t>
            </w:r>
          </w:p>
        </w:tc>
        <w:tc>
          <w:tcPr>
            <w:tcW w:w="16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29"/>
        </w:trPr>
        <w:tc>
          <w:tcPr>
            <w:tcW w:w="2280" w:type="dxa"/>
            <w:vAlign w:val="bottom"/>
          </w:tcPr>
          <w:p>
            <w:pPr>
              <w:spacing w:after="0"/>
              <w:rPr>
                <w:sz w:val="24"/>
                <w:szCs w:val="24"/>
                <w:color w:val="auto"/>
              </w:rPr>
            </w:pPr>
          </w:p>
        </w:tc>
        <w:tc>
          <w:tcPr>
            <w:tcW w:w="5480" w:type="dxa"/>
            <w:vAlign w:val="bottom"/>
          </w:tcPr>
          <w:p>
            <w:pPr>
              <w:jc w:val="center"/>
              <w:ind w:left="126"/>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8"/>
        </w:trPr>
        <w:tc>
          <w:tcPr>
            <w:tcW w:w="2280" w:type="dxa"/>
            <w:vAlign w:val="bottom"/>
          </w:tcPr>
          <w:p>
            <w:pPr>
              <w:spacing w:after="0"/>
              <w:rPr>
                <w:sz w:val="16"/>
                <w:szCs w:val="16"/>
                <w:color w:val="auto"/>
              </w:rPr>
            </w:pPr>
          </w:p>
        </w:tc>
        <w:tc>
          <w:tcPr>
            <w:tcW w:w="548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6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183" w:lineRule="exact"/>
        <w:rPr>
          <w:rFonts w:ascii="MS PGothic" w:cs="MS PGothic" w:eastAsia="MS PGothic" w:hAnsi="MS PGothic"/>
          <w:sz w:val="14"/>
          <w:szCs w:val="14"/>
          <w:color w:val="auto"/>
        </w:rPr>
      </w:pPr>
    </w:p>
    <w:p>
      <w:pPr>
        <w:ind w:left="520" w:hanging="51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520" w:hanging="51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left="3980" w:right="3980" w:hanging="3974"/>
        <w:spacing w:after="0" w:line="512" w:lineRule="auto"/>
        <w:tabs>
          <w:tab w:leader="none" w:pos="51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0"/>
        </w:trPr>
        <w:tc>
          <w:tcPr>
            <w:tcW w:w="384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Depositary Units of Icahn Enterprises L.P. Representing Limited</w:t>
            </w:r>
          </w:p>
        </w:tc>
        <w:tc>
          <w:tcPr>
            <w:tcW w:w="120" w:type="dxa"/>
            <w:vAlign w:val="bottom"/>
          </w:tcPr>
          <w:p>
            <w:pPr>
              <w:spacing w:after="0"/>
              <w:rPr>
                <w:sz w:val="13"/>
                <w:szCs w:val="13"/>
                <w:color w:val="auto"/>
              </w:rPr>
            </w:pPr>
          </w:p>
        </w:tc>
        <w:tc>
          <w:tcPr>
            <w:tcW w:w="350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IEP</w:t>
            </w:r>
          </w:p>
        </w:tc>
        <w:tc>
          <w:tcPr>
            <w:tcW w:w="100" w:type="dxa"/>
            <w:vAlign w:val="bottom"/>
          </w:tcPr>
          <w:p>
            <w:pPr>
              <w:spacing w:after="0"/>
              <w:rPr>
                <w:sz w:val="13"/>
                <w:szCs w:val="13"/>
                <w:color w:val="auto"/>
              </w:rPr>
            </w:pPr>
          </w:p>
        </w:tc>
        <w:tc>
          <w:tcPr>
            <w:tcW w:w="372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NASDAQ Global Select Market</w:t>
            </w:r>
          </w:p>
        </w:tc>
      </w:tr>
      <w:tr>
        <w:trPr>
          <w:trHeight w:val="186"/>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Partner Interests</w:t>
            </w: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Pr>
          <w:p>
            <w:pPr>
              <w:spacing w:after="0"/>
              <w:rPr>
                <w:sz w:val="16"/>
                <w:szCs w:val="16"/>
                <w:color w:val="auto"/>
              </w:rPr>
            </w:pPr>
          </w:p>
        </w:tc>
      </w:tr>
    </w:tbl>
    <w:p>
      <w:pPr>
        <w:spacing w:after="0" w:line="159" w:lineRule="exact"/>
        <w:rPr>
          <w:sz w:val="24"/>
          <w:szCs w:val="24"/>
          <w:color w:val="auto"/>
        </w:rPr>
      </w:pPr>
    </w:p>
    <w:p>
      <w:pPr>
        <w:jc w:val="both"/>
        <w:spacing w:after="0" w:line="192" w:lineRule="exact"/>
        <w:rPr>
          <w:sz w:val="20"/>
          <w:szCs w:val="20"/>
          <w:color w:val="auto"/>
        </w:rPr>
      </w:pPr>
      <w:r>
        <w:rPr>
          <w:rFonts w:ascii="Times New Roman" w:cs="Times New Roman" w:eastAsia="Times New Roman" w:hAnsi="Times New Roman"/>
          <w:sz w:val="14"/>
          <w:szCs w:val="14"/>
          <w:color w:val="221E1F"/>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4"/>
          <w:szCs w:val="14"/>
          <w:color w:val="000000"/>
        </w:rPr>
        <w:t>☐</w:t>
      </w:r>
    </w:p>
    <w:p>
      <w:pPr>
        <w:spacing w:after="0" w:line="135" w:lineRule="exact"/>
        <w:rPr>
          <w:sz w:val="24"/>
          <w:szCs w:val="24"/>
          <w:color w:val="auto"/>
        </w:rPr>
      </w:pPr>
    </w:p>
    <w:p>
      <w:pPr>
        <w:jc w:val="both"/>
        <w:spacing w:after="0" w:line="192" w:lineRule="exact"/>
        <w:rPr>
          <w:sz w:val="20"/>
          <w:szCs w:val="20"/>
          <w:color w:val="auto"/>
        </w:rPr>
      </w:pPr>
      <w:r>
        <w:rPr>
          <w:rFonts w:ascii="Times New Roman" w:cs="Times New Roman" w:eastAsia="Times New Roman" w:hAnsi="Times New Roman"/>
          <w:sz w:val="14"/>
          <w:szCs w:val="14"/>
          <w:color w:val="221E1F"/>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33655</wp:posOffset>
            </wp:positionV>
            <wp:extent cx="7160260"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512445</wp:posOffset>
            </wp:positionV>
            <wp:extent cx="71602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86"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4"/>
          <w:szCs w:val="14"/>
          <w:color w:val="212529"/>
        </w:rPr>
        <w:t>Icahn Enterprises L.P. has attached hereto as Exhibit 99.1 a copy of updated presentation materials that it intends to use in connection with meetings with investors, groups of investors and media and in connection with presentations and speeches to various audiences.</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212529"/>
        </w:rPr>
        <w:t>The information contained in this Item 7.01 and Exhibit 99.1 is being furnished and shall not be deemed “filed” for purposes of Section 18 of the Securities Exchange Act of 1934, as amended, or otherwise subject to the liabilities of that section. In addition, the information contained in this Item 7.01 and Exhibit 99.1 shall not be incorporated by reference into any of Icahn Enterprises L.P.’s filings with the Securities and Exchange Commission or any other document except as shall be expressly set forth by specific reference in such filing or document.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EE"/>
        </w:rPr>
        <w:t>99.1 – Presentation Materials.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 – Cover Page Interactive Data File (formatted in Inline XBRL in Exhibit 101).</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60"/>
          </w:cols>
          <w:pgMar w:left="300" w:top="7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ICAHN ENTERPRISES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(Registrant)</w:t>
            </w:r>
          </w:p>
        </w:tc>
        <w:tc>
          <w:tcPr>
            <w:tcW w:w="1460" w:type="dxa"/>
            <w:vAlign w:val="bottom"/>
          </w:tcPr>
          <w:p>
            <w:pPr>
              <w:spacing w:after="0"/>
              <w:rPr>
                <w:sz w:val="16"/>
                <w:szCs w:val="16"/>
                <w:color w:val="auto"/>
              </w:rPr>
            </w:pPr>
          </w:p>
        </w:tc>
      </w:tr>
      <w:tr>
        <w:trPr>
          <w:trHeight w:val="331"/>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Icahn Enterprises G.P. Inc., its general partner</w:t>
            </w:r>
          </w:p>
        </w:tc>
        <w:tc>
          <w:tcPr>
            <w:tcW w:w="1460" w:type="dxa"/>
            <w:vAlign w:val="bottom"/>
          </w:tcPr>
          <w:p>
            <w:pPr>
              <w:spacing w:after="0"/>
              <w:rPr>
                <w:sz w:val="24"/>
                <w:szCs w:val="24"/>
                <w:color w:val="auto"/>
              </w:rPr>
            </w:pPr>
          </w:p>
        </w:tc>
      </w:tr>
      <w:tr>
        <w:trPr>
          <w:trHeight w:val="346"/>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Flint</w:t>
            </w:r>
          </w:p>
        </w:tc>
        <w:tc>
          <w:tcPr>
            <w:tcW w:w="1460" w:type="dxa"/>
            <w:vAlign w:val="bottom"/>
          </w:tcPr>
          <w:p>
            <w:pPr>
              <w:spacing w:after="0"/>
              <w:rPr>
                <w:sz w:val="24"/>
                <w:szCs w:val="24"/>
                <w:color w:val="auto"/>
              </w:rPr>
            </w:pPr>
          </w:p>
        </w:tc>
      </w:tr>
      <w:tr>
        <w:trPr>
          <w:trHeight w:val="149"/>
        </w:trPr>
        <w:tc>
          <w:tcPr>
            <w:tcW w:w="62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Robert Flint</w:t>
            </w:r>
          </w:p>
        </w:tc>
        <w:tc>
          <w:tcPr>
            <w:tcW w:w="1460" w:type="dxa"/>
            <w:vAlign w:val="bottom"/>
          </w:tcPr>
          <w:p>
            <w:pPr>
              <w:spacing w:after="0"/>
              <w:rPr>
                <w:sz w:val="12"/>
                <w:szCs w:val="12"/>
                <w:color w:val="auto"/>
              </w:rPr>
            </w:pPr>
          </w:p>
        </w:tc>
      </w:tr>
      <w:tr>
        <w:trPr>
          <w:trHeight w:val="186"/>
        </w:trPr>
        <w:tc>
          <w:tcPr>
            <w:tcW w:w="62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1460" w:type="dxa"/>
            <w:vAlign w:val="bottom"/>
          </w:tcPr>
          <w:p>
            <w:pPr>
              <w:spacing w:after="0"/>
              <w:rPr>
                <w:sz w:val="16"/>
                <w:szCs w:val="16"/>
                <w:color w:val="auto"/>
              </w:rPr>
            </w:pPr>
          </w:p>
        </w:tc>
      </w:tr>
      <w:tr>
        <w:trPr>
          <w:trHeight w:val="345"/>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Date: May 8, 2026</w:t>
            </w:r>
          </w:p>
        </w:tc>
        <w:tc>
          <w:tcPr>
            <w:tcW w:w="36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18"/>
        </w:trPr>
        <w:tc>
          <w:tcPr>
            <w:tcW w:w="62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2</w:t>
            </w:r>
          </w:p>
        </w:tc>
        <w:tc>
          <w:tcPr>
            <w:tcW w:w="3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48" w:right="319" w:bottom="1440" w:gutter="0" w:footer="0" w:header="0"/>
        </w:sectPr>
      </w:pPr>
    </w:p>
    <w:bookmarkStart w:id="3" w:name="page4"/>
    <w:bookmarkEnd w:id="3"/>
    <w:p>
      <w:pPr>
        <w:ind w:left="940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127635</wp:posOffset>
            </wp:positionV>
            <wp:extent cx="6838315" cy="5427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38315" cy="5427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8315" cy="5427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2026-05-11T05:11:45Z</dcterms:created>
  <dcterms:modified xsi:type="dcterms:W3CDTF">2026-05-11T05:11:45Z</dcterms:modified>
</cp:coreProperties>
</file>